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市政府督查事项积分排名出炉</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各单位“月考”成绩</w:t>
      </w:r>
      <w:r>
        <w:rPr>
          <w:rFonts w:hint="eastAsia" w:ascii="方正小标宋简体" w:hAnsi="方正小标宋简体" w:eastAsia="方正小标宋简体" w:cs="方正小标宋简体"/>
          <w:sz w:val="44"/>
          <w:szCs w:val="44"/>
          <w:lang w:val="en-US" w:eastAsia="zh-CN"/>
        </w:rPr>
        <w:t>首次</w:t>
      </w:r>
      <w:r>
        <w:rPr>
          <w:rFonts w:hint="eastAsia" w:ascii="方正小标宋简体" w:hAnsi="方正小标宋简体" w:eastAsia="方正小标宋简体" w:cs="方正小标宋简体"/>
          <w:sz w:val="44"/>
          <w:szCs w:val="44"/>
          <w:lang w:eastAsia="zh-CN"/>
        </w:rPr>
        <w:t>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市政府提出的“干成事是硬道理”的工作准则和“行动迅速、善抓落实、勇争一流、廉政为民”的行为准则，按照《驻马店市人民政府办公室关于进一步加强督查工作推动政府工作高效落实的通知》(驻政办[2018]1号)文件要求，3月1日，各县区人民政府、市城乡一体化示范区、经济开发区、市产业集聚区管委会、市政府各工作部门、市政府办公室各业务科室的督查事项积分公布，各单位迎来了首次“月考”成绩排名。本次排名将在《驻马店日报》、驻马店电视台、《网络问政》频道、驻马店督查微信公众号同步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2月份，市长安排各类重要事项71项，参与排名的各县区和市直单位64个，经“督查一张网”系统大数据自动排名统计，对县区完成督查事项且排名前三位的遂平县、驿城区、泌阳县，市直部门完成督查事项且排名前三位的农业局、环保局、人社局、财政局七个单位予以表扬；对排名后三位的职业技术学院、农机局、国资委予以通报批评。望受到通报批评的责任单位认真反思、引以为戒、及时整改、限期落实。</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960" w:firstLineChars="300"/>
        <w:textAlignment w:val="auto"/>
        <w:outlineLvl w:val="9"/>
        <w:rPr>
          <w:rFonts w:hint="eastAsia" w:ascii="仿宋" w:hAnsi="仿宋" w:eastAsia="仿宋" w:cs="仿宋"/>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2018年3月1日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各县区督查事项积分排名情况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lang w:eastAsia="zh-CN"/>
        </w:rPr>
      </w:pPr>
      <w:r>
        <w:rPr>
          <w:rFonts w:hint="eastAsia" w:ascii="楷体_GB2312" w:hAnsi="楷体_GB2312" w:eastAsia="楷体_GB2312" w:cs="楷体_GB2312"/>
          <w:sz w:val="28"/>
          <w:szCs w:val="28"/>
          <w:lang w:val="en-US" w:eastAsia="zh-CN"/>
        </w:rPr>
        <w:t>（2018年2月）</w:t>
      </w:r>
    </w:p>
    <w:tbl>
      <w:tblPr>
        <w:tblStyle w:val="4"/>
        <w:tblW w:w="13840"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06"/>
        <w:gridCol w:w="1311"/>
        <w:gridCol w:w="1244"/>
        <w:gridCol w:w="847"/>
        <w:gridCol w:w="1277"/>
        <w:gridCol w:w="861"/>
        <w:gridCol w:w="1260"/>
        <w:gridCol w:w="926"/>
        <w:gridCol w:w="1340"/>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blHeader/>
          <w:jc w:val="center"/>
        </w:trPr>
        <w:tc>
          <w:tcPr>
            <w:tcW w:w="1473"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县</w:t>
            </w: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区</w:t>
            </w:r>
          </w:p>
        </w:tc>
        <w:tc>
          <w:tcPr>
            <w:tcW w:w="1306"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基础分数</w:t>
            </w:r>
          </w:p>
        </w:tc>
        <w:tc>
          <w:tcPr>
            <w:tcW w:w="1311"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督查事项</w:t>
            </w:r>
          </w:p>
        </w:tc>
        <w:tc>
          <w:tcPr>
            <w:tcW w:w="6415" w:type="dxa"/>
            <w:gridSpan w:val="6"/>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分类事项得分</w:t>
            </w:r>
          </w:p>
        </w:tc>
        <w:tc>
          <w:tcPr>
            <w:tcW w:w="134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合计得分</w:t>
            </w:r>
          </w:p>
        </w:tc>
        <w:tc>
          <w:tcPr>
            <w:tcW w:w="1005"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名</w:t>
            </w: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次</w:t>
            </w:r>
          </w:p>
        </w:tc>
        <w:tc>
          <w:tcPr>
            <w:tcW w:w="99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备</w:t>
            </w: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blHeader/>
          <w:jc w:val="center"/>
        </w:trPr>
        <w:tc>
          <w:tcPr>
            <w:tcW w:w="1473" w:type="dxa"/>
            <w:vMerge w:val="continue"/>
            <w:vAlign w:val="center"/>
          </w:tcPr>
          <w:p>
            <w:pPr>
              <w:jc w:val="center"/>
              <w:rPr>
                <w:rFonts w:hint="eastAsia" w:ascii="黑体" w:hAnsi="黑体" w:eastAsia="黑体" w:cs="黑体"/>
                <w:sz w:val="21"/>
                <w:szCs w:val="21"/>
                <w:vertAlign w:val="baseline"/>
                <w:lang w:eastAsia="zh-CN"/>
              </w:rPr>
            </w:pPr>
          </w:p>
        </w:tc>
        <w:tc>
          <w:tcPr>
            <w:tcW w:w="1306" w:type="dxa"/>
            <w:vMerge w:val="continue"/>
            <w:vAlign w:val="center"/>
          </w:tcPr>
          <w:p>
            <w:pPr>
              <w:jc w:val="center"/>
              <w:rPr>
                <w:rFonts w:hint="eastAsia" w:ascii="黑体" w:hAnsi="黑体" w:eastAsia="黑体" w:cs="黑体"/>
                <w:sz w:val="21"/>
                <w:szCs w:val="21"/>
                <w:vertAlign w:val="baseline"/>
                <w:lang w:eastAsia="zh-CN"/>
              </w:rPr>
            </w:pPr>
          </w:p>
        </w:tc>
        <w:tc>
          <w:tcPr>
            <w:tcW w:w="1311" w:type="dxa"/>
            <w:vMerge w:val="continue"/>
            <w:vAlign w:val="center"/>
          </w:tcPr>
          <w:p>
            <w:pPr>
              <w:jc w:val="center"/>
              <w:rPr>
                <w:rFonts w:hint="eastAsia" w:ascii="黑体" w:hAnsi="黑体" w:eastAsia="黑体" w:cs="黑体"/>
                <w:sz w:val="21"/>
                <w:szCs w:val="21"/>
                <w:vertAlign w:val="baseline"/>
                <w:lang w:eastAsia="zh-CN"/>
              </w:rPr>
            </w:pPr>
          </w:p>
        </w:tc>
        <w:tc>
          <w:tcPr>
            <w:tcW w:w="1244"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一级事项</w:t>
            </w:r>
          </w:p>
        </w:tc>
        <w:tc>
          <w:tcPr>
            <w:tcW w:w="84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得分</w:t>
            </w:r>
          </w:p>
        </w:tc>
        <w:tc>
          <w:tcPr>
            <w:tcW w:w="127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二级事项</w:t>
            </w:r>
          </w:p>
        </w:tc>
        <w:tc>
          <w:tcPr>
            <w:tcW w:w="861"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得分</w:t>
            </w:r>
          </w:p>
        </w:tc>
        <w:tc>
          <w:tcPr>
            <w:tcW w:w="1260"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三级事项</w:t>
            </w:r>
          </w:p>
        </w:tc>
        <w:tc>
          <w:tcPr>
            <w:tcW w:w="92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得分</w:t>
            </w:r>
          </w:p>
        </w:tc>
        <w:tc>
          <w:tcPr>
            <w:tcW w:w="1340" w:type="dxa"/>
            <w:vMerge w:val="continue"/>
            <w:vAlign w:val="center"/>
          </w:tcPr>
          <w:p>
            <w:pPr>
              <w:jc w:val="center"/>
              <w:rPr>
                <w:rFonts w:hint="eastAsia" w:ascii="黑体" w:hAnsi="黑体" w:eastAsia="黑体" w:cs="黑体"/>
                <w:sz w:val="21"/>
                <w:szCs w:val="21"/>
                <w:vertAlign w:val="baseline"/>
                <w:lang w:eastAsia="zh-CN"/>
              </w:rPr>
            </w:pPr>
          </w:p>
        </w:tc>
        <w:tc>
          <w:tcPr>
            <w:tcW w:w="1005" w:type="dxa"/>
            <w:vMerge w:val="continue"/>
            <w:vAlign w:val="center"/>
          </w:tcPr>
          <w:p>
            <w:pPr>
              <w:jc w:val="center"/>
              <w:rPr>
                <w:rFonts w:hint="eastAsia" w:ascii="黑体" w:hAnsi="黑体" w:eastAsia="黑体" w:cs="黑体"/>
                <w:sz w:val="21"/>
                <w:szCs w:val="21"/>
                <w:vertAlign w:val="baseline"/>
                <w:lang w:eastAsia="zh-CN"/>
              </w:rPr>
            </w:pPr>
          </w:p>
        </w:tc>
        <w:tc>
          <w:tcPr>
            <w:tcW w:w="990" w:type="dxa"/>
            <w:vMerge w:val="continue"/>
            <w:vAlign w:val="center"/>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遂平县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驿城区</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泌阳县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示范区</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平舆县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正阳县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上蔡县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确山县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汝南县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西平县</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经济开发区</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473"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产业集聚区</w:t>
            </w:r>
          </w:p>
        </w:tc>
        <w:tc>
          <w:tcPr>
            <w:tcW w:w="13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3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2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2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9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34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10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w:t>
            </w:r>
          </w:p>
        </w:tc>
        <w:tc>
          <w:tcPr>
            <w:tcW w:w="990" w:type="dxa"/>
            <w:vAlign w:val="center"/>
          </w:tcPr>
          <w:p>
            <w:pPr>
              <w:jc w:val="center"/>
              <w:rPr>
                <w:rFonts w:hint="eastAsia" w:asciiTheme="minorEastAsia" w:hAnsiTheme="minorEastAsia" w:eastAsiaTheme="minorEastAsia" w:cstheme="minorEastAsia"/>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市直各单位督查事项积分排名情况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lang w:eastAsia="zh-CN"/>
        </w:rPr>
      </w:pPr>
      <w:r>
        <w:rPr>
          <w:rFonts w:hint="eastAsia" w:ascii="楷体_GB2312" w:hAnsi="楷体_GB2312" w:eastAsia="楷体_GB2312" w:cs="楷体_GB2312"/>
          <w:sz w:val="28"/>
          <w:szCs w:val="28"/>
          <w:lang w:val="en-US" w:eastAsia="zh-CN"/>
        </w:rPr>
        <w:t>（2018年2月）</w:t>
      </w:r>
    </w:p>
    <w:tbl>
      <w:tblPr>
        <w:tblStyle w:val="4"/>
        <w:tblW w:w="13680" w:type="dxa"/>
        <w:jc w:val="center"/>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290"/>
        <w:gridCol w:w="1155"/>
        <w:gridCol w:w="1185"/>
        <w:gridCol w:w="1185"/>
        <w:gridCol w:w="1185"/>
        <w:gridCol w:w="1185"/>
        <w:gridCol w:w="1185"/>
        <w:gridCol w:w="1185"/>
        <w:gridCol w:w="1080"/>
        <w:gridCol w:w="90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blHeader/>
          <w:jc w:val="center"/>
        </w:trPr>
        <w:tc>
          <w:tcPr>
            <w:tcW w:w="1284"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单位</w:t>
            </w:r>
          </w:p>
        </w:tc>
        <w:tc>
          <w:tcPr>
            <w:tcW w:w="129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基础分数</w:t>
            </w:r>
          </w:p>
        </w:tc>
        <w:tc>
          <w:tcPr>
            <w:tcW w:w="1155"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督查事项</w:t>
            </w:r>
          </w:p>
        </w:tc>
        <w:tc>
          <w:tcPr>
            <w:tcW w:w="7110" w:type="dxa"/>
            <w:gridSpan w:val="6"/>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分类事项得分</w:t>
            </w:r>
          </w:p>
        </w:tc>
        <w:tc>
          <w:tcPr>
            <w:tcW w:w="108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合计得分</w:t>
            </w:r>
          </w:p>
        </w:tc>
        <w:tc>
          <w:tcPr>
            <w:tcW w:w="900"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名</w:t>
            </w: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次</w:t>
            </w:r>
          </w:p>
        </w:tc>
        <w:tc>
          <w:tcPr>
            <w:tcW w:w="861" w:type="dxa"/>
            <w:vMerge w:val="restart"/>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备</w:t>
            </w:r>
            <w:r>
              <w:rPr>
                <w:rFonts w:hint="eastAsia" w:ascii="黑体" w:hAnsi="黑体" w:eastAsia="黑体" w:cs="黑体"/>
                <w:sz w:val="21"/>
                <w:szCs w:val="21"/>
                <w:vertAlign w:val="baseline"/>
                <w:lang w:val="en-US" w:eastAsia="zh-CN"/>
              </w:rPr>
              <w:t xml:space="preserve">  </w:t>
            </w:r>
            <w:r>
              <w:rPr>
                <w:rFonts w:hint="eastAsia" w:ascii="黑体" w:hAnsi="黑体" w:eastAsia="黑体" w:cs="黑体"/>
                <w:sz w:val="21"/>
                <w:szCs w:val="21"/>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1284" w:type="dxa"/>
            <w:vMerge w:val="continue"/>
            <w:vAlign w:val="center"/>
          </w:tcPr>
          <w:p>
            <w:pPr>
              <w:jc w:val="center"/>
              <w:rPr>
                <w:rFonts w:hint="eastAsia" w:ascii="黑体" w:hAnsi="黑体" w:eastAsia="黑体" w:cs="黑体"/>
                <w:sz w:val="21"/>
                <w:szCs w:val="21"/>
                <w:vertAlign w:val="baseline"/>
                <w:lang w:eastAsia="zh-CN"/>
              </w:rPr>
            </w:pPr>
          </w:p>
        </w:tc>
        <w:tc>
          <w:tcPr>
            <w:tcW w:w="1290" w:type="dxa"/>
            <w:vMerge w:val="continue"/>
            <w:vAlign w:val="center"/>
          </w:tcPr>
          <w:p>
            <w:pPr>
              <w:jc w:val="center"/>
              <w:rPr>
                <w:rFonts w:hint="eastAsia" w:ascii="黑体" w:hAnsi="黑体" w:eastAsia="黑体" w:cs="黑体"/>
                <w:sz w:val="21"/>
                <w:szCs w:val="21"/>
                <w:vertAlign w:val="baseline"/>
                <w:lang w:eastAsia="zh-CN"/>
              </w:rPr>
            </w:pPr>
          </w:p>
        </w:tc>
        <w:tc>
          <w:tcPr>
            <w:tcW w:w="1155" w:type="dxa"/>
            <w:vMerge w:val="continue"/>
            <w:vAlign w:val="center"/>
          </w:tcPr>
          <w:p>
            <w:pPr>
              <w:jc w:val="center"/>
              <w:rPr>
                <w:rFonts w:hint="eastAsia" w:ascii="黑体" w:hAnsi="黑体" w:eastAsia="黑体" w:cs="黑体"/>
                <w:sz w:val="21"/>
                <w:szCs w:val="21"/>
                <w:vertAlign w:val="baseline"/>
                <w:lang w:eastAsia="zh-CN"/>
              </w:rPr>
            </w:pPr>
          </w:p>
        </w:tc>
        <w:tc>
          <w:tcPr>
            <w:tcW w:w="118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一级事项</w:t>
            </w:r>
          </w:p>
        </w:tc>
        <w:tc>
          <w:tcPr>
            <w:tcW w:w="118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得分</w:t>
            </w:r>
          </w:p>
        </w:tc>
        <w:tc>
          <w:tcPr>
            <w:tcW w:w="118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二级事项</w:t>
            </w:r>
          </w:p>
        </w:tc>
        <w:tc>
          <w:tcPr>
            <w:tcW w:w="118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得分</w:t>
            </w:r>
          </w:p>
        </w:tc>
        <w:tc>
          <w:tcPr>
            <w:tcW w:w="118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三级事项</w:t>
            </w:r>
          </w:p>
        </w:tc>
        <w:tc>
          <w:tcPr>
            <w:tcW w:w="118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得分</w:t>
            </w:r>
          </w:p>
        </w:tc>
        <w:tc>
          <w:tcPr>
            <w:tcW w:w="1080" w:type="dxa"/>
            <w:vMerge w:val="continue"/>
            <w:vAlign w:val="center"/>
          </w:tcPr>
          <w:p>
            <w:pPr>
              <w:jc w:val="center"/>
              <w:rPr>
                <w:rFonts w:hint="eastAsia" w:ascii="黑体" w:hAnsi="黑体" w:eastAsia="黑体" w:cs="黑体"/>
                <w:sz w:val="21"/>
                <w:szCs w:val="21"/>
                <w:vertAlign w:val="baseline"/>
                <w:lang w:eastAsia="zh-CN"/>
              </w:rPr>
            </w:pPr>
          </w:p>
        </w:tc>
        <w:tc>
          <w:tcPr>
            <w:tcW w:w="900" w:type="dxa"/>
            <w:vMerge w:val="continue"/>
            <w:vAlign w:val="center"/>
          </w:tcPr>
          <w:p>
            <w:pPr>
              <w:jc w:val="center"/>
              <w:rPr>
                <w:rFonts w:hint="eastAsia" w:ascii="黑体" w:hAnsi="黑体" w:eastAsia="黑体" w:cs="黑体"/>
                <w:sz w:val="21"/>
                <w:szCs w:val="21"/>
                <w:vertAlign w:val="baseline"/>
                <w:lang w:eastAsia="zh-CN"/>
              </w:rPr>
            </w:pPr>
          </w:p>
        </w:tc>
        <w:tc>
          <w:tcPr>
            <w:tcW w:w="861" w:type="dxa"/>
            <w:vMerge w:val="continue"/>
            <w:vAlign w:val="center"/>
          </w:tcPr>
          <w:p>
            <w:pPr>
              <w:jc w:val="center"/>
              <w:rPr>
                <w:rFonts w:hint="eastAsia" w:ascii="黑体" w:hAnsi="黑体" w:eastAsia="黑体" w:cs="黑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农业局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环保局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人社局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财政局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城管局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公安局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住建局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文广新局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行政服务</w:t>
            </w:r>
          </w:p>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中心</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规划局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民政局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国土局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发改委</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教体局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卫计委</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事管局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科技局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安监局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18</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法制办</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19</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林业局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金融办</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21</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交通局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22</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商务局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23</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食药监局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农科院</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25</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审计局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26</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pacing w:val="-23"/>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民宗委</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27</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人防办</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28</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旅游局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29</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粮食局</w:t>
            </w:r>
          </w:p>
        </w:tc>
        <w:tc>
          <w:tcPr>
            <w:tcW w:w="129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扶贫办</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31</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工商局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32</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地税局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33</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国税局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34</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公积金</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35</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公路局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36</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供电公司</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37</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供销社</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38</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司法局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39</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统计局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40</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畜牧局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41</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盐业局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42</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文明办</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43</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质监局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44</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住房管理中心</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45</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编办</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46</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信访局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47</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水利局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48</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工信委</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49</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国资委</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50</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农机局</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51</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职业技术学院</w:t>
            </w:r>
          </w:p>
        </w:tc>
        <w:tc>
          <w:tcPr>
            <w:tcW w:w="12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15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1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52</w:t>
            </w:r>
          </w:p>
        </w:tc>
        <w:tc>
          <w:tcPr>
            <w:tcW w:w="861" w:type="dxa"/>
            <w:vAlign w:val="center"/>
          </w:tcPr>
          <w:p>
            <w:pPr>
              <w:jc w:val="center"/>
              <w:rPr>
                <w:rFonts w:hint="eastAsia" w:asciiTheme="minorEastAsia" w:hAnsiTheme="minorEastAsia" w:eastAsiaTheme="minorEastAsia" w:cstheme="minorEastAsia"/>
                <w:sz w:val="21"/>
                <w:szCs w:val="21"/>
                <w:vertAlign w:val="baseline"/>
                <w:lang w:eastAsia="zh-CN"/>
              </w:rPr>
            </w:pPr>
          </w:p>
        </w:tc>
      </w:tr>
    </w:tbl>
    <w:p>
      <w:pPr>
        <w:rPr>
          <w:rFonts w:hint="eastAsia"/>
          <w:sz w:val="28"/>
          <w:szCs w:val="28"/>
          <w:lang w:eastAsia="zh-CN"/>
        </w:rPr>
      </w:pPr>
    </w:p>
    <w:p>
      <w:pPr>
        <w:jc w:val="left"/>
        <w:rPr>
          <w:rFonts w:hint="eastAsia" w:ascii="黑体" w:hAnsi="黑体" w:eastAsia="黑体" w:cs="黑体"/>
          <w:sz w:val="32"/>
          <w:szCs w:val="32"/>
          <w:lang w:val="en-US" w:eastAsia="zh-CN"/>
        </w:rPr>
      </w:pPr>
    </w:p>
    <w:p>
      <w:pP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053DB"/>
    <w:rsid w:val="0BEB2155"/>
    <w:rsid w:val="0C621AB1"/>
    <w:rsid w:val="15A053DB"/>
    <w:rsid w:val="25503B71"/>
    <w:rsid w:val="260437B8"/>
    <w:rsid w:val="265F07DE"/>
    <w:rsid w:val="2CB9533F"/>
    <w:rsid w:val="2CBB3AC5"/>
    <w:rsid w:val="2D9D40B8"/>
    <w:rsid w:val="2F976174"/>
    <w:rsid w:val="2FC9345B"/>
    <w:rsid w:val="31C95A28"/>
    <w:rsid w:val="35E165E5"/>
    <w:rsid w:val="3B38280B"/>
    <w:rsid w:val="3CD944B5"/>
    <w:rsid w:val="412F53D4"/>
    <w:rsid w:val="488F695B"/>
    <w:rsid w:val="4B0853F8"/>
    <w:rsid w:val="4CBC6579"/>
    <w:rsid w:val="51BB66FD"/>
    <w:rsid w:val="55BE6993"/>
    <w:rsid w:val="6652197E"/>
    <w:rsid w:val="694A3013"/>
    <w:rsid w:val="6FD21157"/>
    <w:rsid w:val="746A7213"/>
    <w:rsid w:val="7928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2018-02-28T07:51:00Z</dcterms:created>
  <dc:creator>dcs</dc:creator>
  <cp:lastModifiedBy>adc</cp:lastModifiedBy>
  <cp:lastPrinted>2018-02-28T15:06:00Z</cp:lastPrinted>
  <dcterms:modified xsi:type="dcterms:W3CDTF">2018-03-01T06:39:52Z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